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0" distR="0" simplePos="0" locked="0" layoutInCell="1" allowOverlap="1" relativeHeight="2">
                <wp:simplePos x="0" y="0"/>
                <wp:positionH relativeFrom="column">
                  <wp:posOffset>-21590</wp:posOffset>
                </wp:positionH>
                <wp:positionV relativeFrom="paragraph">
                  <wp:posOffset>-137160</wp:posOffset>
                </wp:positionV>
                <wp:extent cx="6252845" cy="1905000"/>
                <wp:effectExtent l="0" t="0" r="0" b="0"/>
                <wp:wrapNone/>
                <wp:docPr id="1" name="Image1"/>
                <a:graphic xmlns:a="http://schemas.openxmlformats.org/drawingml/2006/main">
                  <a:graphicData uri="http://schemas.microsoft.com/office/word/2010/wordprocessingShape">
                    <wps:wsp>
                      <wps:cNvSpPr/>
                      <wps:spPr>
                        <a:xfrm>
                          <a:off x="0" y="0"/>
                          <a:ext cx="6252120" cy="1904400"/>
                        </a:xfrm>
                        <a:prstGeom prst="rect">
                          <a:avLst/>
                        </a:prstGeom>
                        <a:noFill/>
                        <a:ln>
                          <a:solidFill>
                            <a:srgbClr val="000000"/>
                          </a:solidFill>
                        </a:ln>
                      </wps:spPr>
                      <wps:style>
                        <a:lnRef idx="0"/>
                        <a:fillRef idx="0"/>
                        <a:effectRef idx="0"/>
                        <a:fontRef idx="minor"/>
                      </wps:style>
                      <wps:bodyPr/>
                    </wps:wsp>
                  </a:graphicData>
                </a:graphic>
              </wp:anchor>
            </w:drawing>
          </mc:Choice>
          <mc:Fallback>
            <w:pict>
              <v:rect id="shape_0" ID="Image1" stroked="t" style="position:absolute;margin-left:-1.7pt;margin-top:-10.8pt;width:492.25pt;height:149.9pt">
                <w10:wrap type="none"/>
                <v:fill o:detectmouseclick="t" on="false"/>
                <v:stroke color="black" joinstyle="round" endcap="flat"/>
              </v:rect>
            </w:pict>
          </mc:Fallback>
        </mc:AlternateContent>
      </w:r>
      <w:r>
        <w:rPr>
          <w:rFonts w:eastAsia="Times New Roman" w:cs="Arial" w:ascii="Marianne" w:hAnsi="Marianne"/>
          <w:b/>
          <w:sz w:val="48"/>
          <w:szCs w:val="20"/>
          <w:lang w:eastAsia="fr-FR"/>
        </w:rPr>
        <w:t>PROCÈS-VERBAL DE LA DÉSIGNATION 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0"/>
          <w:lang w:eastAsia="fr-FR"/>
        </w:rPr>
      </w:pPr>
      <w:r>
        <w:rPr>
          <w:rFonts w:eastAsia="Times New Roman" w:cs="Arial" w:ascii="Marianne" w:hAnsi="Marianne"/>
          <w:b/>
          <w:sz w:val="32"/>
          <w:szCs w:val="32"/>
          <w:bdr w:val="single" w:sz="4" w:space="0" w:color="000000"/>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0"/>
          <w:lang w:eastAsia="fr-FR"/>
        </w:rPr>
        <w:t xml:space="preserve"> </w:t>
      </w:r>
      <w:r>
        <w:rPr>
          <w:rFonts w:eastAsia="Times New Roman" w:cs="Arial" w:ascii="Marianne" w:hAnsi="Marianne"/>
          <w:b/>
          <w:sz w:val="32"/>
          <w:szCs w:val="32"/>
          <w:bdr w:val="single" w:sz="4" w:space="0" w:color="000000"/>
          <w:lang w:eastAsia="fr-FR"/>
        </w:rPr>
        <w:t>Communes de moins de 1</w:t>
      </w:r>
      <w:r>
        <w:rPr>
          <w:rFonts w:eastAsia="Times New Roman" w:cs="Courier New" w:ascii="Courier New" w:hAnsi="Courier New"/>
          <w:b/>
          <w:sz w:val="32"/>
          <w:szCs w:val="32"/>
          <w:bdr w:val="single" w:sz="4" w:space="0" w:color="000000"/>
          <w:lang w:eastAsia="fr-FR"/>
        </w:rPr>
        <w:t> </w:t>
      </w:r>
      <w:r>
        <w:rPr>
          <w:rFonts w:eastAsia="Times New Roman" w:cs="Marianne" w:ascii="Marianne" w:hAnsi="Marianne"/>
          <w:b/>
          <w:sz w:val="32"/>
          <w:szCs w:val="32"/>
          <w:bdr w:val="single" w:sz="4" w:space="0" w:color="000000"/>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61"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color w:val="auto"/>
                <w:sz w:val="26"/>
                <w:szCs w:val="26"/>
                <w:lang w:eastAsia="fr-FR"/>
              </w:rPr>
            </w:pPr>
            <w:r>
              <w:rPr>
                <w:rFonts w:eastAsia="Times New Roman" w:cs="Arial" w:ascii="Marianne" w:hAnsi="Marianne"/>
                <w:b/>
                <w:bCs/>
                <w:color w:val="auto" w:themeColor="background1"/>
                <w:sz w:val="26"/>
                <w:szCs w:val="26"/>
                <w:lang w:eastAsia="fr-FR"/>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40" w:before="0" w:after="0"/>
              <w:jc w:val="center"/>
              <w:rPr>
                <w:rFonts w:ascii="Marianne" w:hAnsi="Marianne" w:eastAsia="Times New Roman" w:cs="Arial"/>
                <w:b/>
                <w:b/>
                <w:bCs/>
                <w:color w:val="FFFFFF" w:themeColor="background1"/>
                <w:sz w:val="26"/>
                <w:szCs w:val="26"/>
                <w:lang w:eastAsia="fr-FR"/>
              </w:rPr>
            </w:pPr>
            <w:r>
              <w:rPr>
                <w:rFonts w:eastAsia="Times New Roman" w:cs="Arial" w:ascii="Marianne" w:hAnsi="Marianne"/>
                <w:b/>
                <w:bCs/>
                <w:color w:val="FFFFFF" w:themeColor="background1"/>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pPr>
      <w:r>
        <w:rPr>
          <w:rFonts w:eastAsia="Times New Roman" w:cs="Arial" w:ascii="Marianne" w:hAnsi="Marianne"/>
          <w:spacing w:val="10"/>
          <w:szCs w:val="24"/>
          <w:lang w:eastAsia="fr-FR"/>
        </w:rPr>
        <w:t>L’an deux mille vingt, le 21 juillet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les conseillers municipaux suivants</w:t>
      </w:r>
      <w:r>
        <w:rPr>
          <w:rStyle w:val="Ancredenotedebasdepage"/>
          <w:rFonts w:eastAsia="Times New Roman" w:cs="Arial" w:ascii="Marianne" w:hAnsi="Marianne"/>
          <w:b/>
          <w:spacing w:val="10"/>
          <w:u w:val="single"/>
          <w:vertAlign w:val="superscript"/>
          <w:lang w:eastAsia="fr-FR"/>
        </w:rPr>
        <w:footnoteReference w:id="2"/>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6"/>
        <w:gridCol w:w="3076"/>
      </w:tblGrid>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6"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clear" w:pos="708"/>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Absents</w:t>
      </w:r>
      <w:r>
        <w:rPr>
          <w:rStyle w:val="Ancredenotedebasdepage"/>
          <w:rFonts w:eastAsia="Times New Roman" w:cs="Arial" w:ascii="Marianne" w:hAnsi="Marianne"/>
          <w:spacing w:val="10"/>
          <w:szCs w:val="24"/>
          <w:u w:val="single"/>
          <w:lang w:eastAsia="fr-FR"/>
        </w:rPr>
        <w:footnoteReference w:id="3"/>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8" w:type="dxa"/>
          <w:bottom w:w="0" w:type="dxa"/>
          <w:right w:w="108" w:type="dxa"/>
        </w:tblCellMar>
        <w:tblLook w:val="04a0"/>
      </w:tblPr>
      <w:tblGrid>
        <w:gridCol w:w="3072"/>
        <w:gridCol w:w="3069"/>
        <w:gridCol w:w="3077"/>
      </w:tblGrid>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69"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7"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69"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7"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69"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7"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et a constaté que la condition de quorum posée à l’article 10 de la loi n° 2020-290 du 23 mars 2020 modifiée était remplie</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w:t>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Dans l’un et l’autre cas,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 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membres de l’Assemblée de Polynésie française peuvent participer à l’élection des délégués et suppléants mais ne peuvent être élus délégués ou suppléants (art. L. 282, L. 287 et L. 445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 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(art. L. 66 du code électoral).</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r>
        <w:br w:type="page"/>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délégués</w:t>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color w:val="000000"/>
                <w:szCs w:val="20"/>
                <w:vertAlign w:val="superscript"/>
                <w:lang w:eastAsia="fr-FR"/>
              </w:rPr>
              <w:footnoteReference w:id="5"/>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clear" w:pos="708"/>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1"/>
        <w:gridCol w:w="1751"/>
        <w:gridCol w:w="1760"/>
      </w:tblGrid>
      <w:tr>
        <w:trPr>
          <w:trHeight w:val="1894" w:hRule="atLeast"/>
        </w:trPr>
        <w:tc>
          <w:tcPr>
            <w:tcW w:w="6451" w:type="dxa"/>
            <w:tcBorders/>
            <w:shd w:fill="auto" w:val="cle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511"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960" w:leader="none"/>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Résultats du second tour de scrutin de l’élection des délégués</w:t>
      </w:r>
      <w:r>
        <w:rPr>
          <w:rStyle w:val="Ancredenotedebasdepage"/>
          <w:rFonts w:eastAsia="Times New Roman" w:cs="Times New Roman" w:ascii="Marianne" w:hAnsi="Marianne"/>
          <w:spacing w:val="10"/>
          <w:u w:val="single"/>
          <w:vertAlign w:val="superscript"/>
          <w:lang w:eastAsia="fr-FR"/>
        </w:rPr>
        <w:footnoteReference w:id="6"/>
      </w:r>
    </w:p>
    <w:tbl>
      <w:tblPr>
        <w:tblStyle w:val="Grilledutableau"/>
        <w:tblW w:w="9962" w:type="dxa"/>
        <w:jc w:val="center"/>
        <w:tblInd w:w="0" w:type="dxa"/>
        <w:tblCellMar>
          <w:top w:w="0" w:type="dxa"/>
          <w:left w:w="108" w:type="dxa"/>
          <w:bottom w:w="0" w:type="dxa"/>
          <w:right w:w="108" w:type="dxa"/>
        </w:tblCellMar>
        <w:tblLook w:val="04a0"/>
      </w:tblPr>
      <w:tblGrid>
        <w:gridCol w:w="4981"/>
        <w:gridCol w:w="4980"/>
      </w:tblGrid>
      <w:tr>
        <w:trPr/>
        <w:tc>
          <w:tcPr>
            <w:tcW w:w="4981"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980"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1"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980"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1"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980"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1"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980"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1"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980"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1"/>
        <w:gridCol w:w="1751"/>
        <w:gridCol w:w="1760"/>
      </w:tblGrid>
      <w:tr>
        <w:trPr>
          <w:trHeight w:val="340" w:hRule="atLeast"/>
        </w:trPr>
        <w:tc>
          <w:tcPr>
            <w:tcW w:w="6451"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1"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Proclamation de l’élection des délégués</w:t>
      </w:r>
      <w:r>
        <w:rPr>
          <w:rStyle w:val="Ancredenotedebasdepage"/>
          <w:rFonts w:eastAsia="Times New Roman" w:cs="Arial" w:ascii="Marianne" w:hAnsi="Marianne"/>
          <w:szCs w:val="26"/>
          <w:u w:val="single"/>
          <w:vertAlign w:val="superscript"/>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 xml:space="preserve">Etc. </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spacing w:val="10"/>
          <w:u w:val="single"/>
          <w:vertAlign w:val="superscript"/>
          <w:lang w:eastAsia="fr-FR"/>
        </w:rPr>
        <w:footnoteReference w:id="8"/>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suppléants</w:t>
      </w:r>
    </w:p>
    <w:p>
      <w:pPr>
        <w:pStyle w:val="Normal"/>
        <w:numPr>
          <w:ilvl w:val="0"/>
          <w:numId w:val="0"/>
        </w:numPr>
        <w:spacing w:lineRule="auto" w:line="360" w:before="120" w:after="12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9"/>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1"/>
        <w:gridCol w:w="1751"/>
        <w:gridCol w:w="1760"/>
      </w:tblGrid>
      <w:tr>
        <w:trPr>
          <w:trHeight w:val="340" w:hRule="atLeast"/>
        </w:trPr>
        <w:tc>
          <w:tcPr>
            <w:tcW w:w="6451"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1"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second tour de scrutin de l’élection des suppléants</w:t>
      </w:r>
      <w:r>
        <w:rPr>
          <w:rStyle w:val="Ancredenotedebasdepage"/>
          <w:rFonts w:eastAsia="Times New Roman" w:cs="Arial" w:ascii="Marianne" w:hAnsi="Marianne"/>
          <w:spacing w:val="10"/>
          <w:u w:val="single"/>
          <w:vertAlign w:val="superscript"/>
          <w:lang w:eastAsia="fr-FR"/>
        </w:rPr>
        <w:footnoteReference w:id="10"/>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[b – (c + d)] </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1"/>
        <w:gridCol w:w="1751"/>
        <w:gridCol w:w="1760"/>
      </w:tblGrid>
      <w:tr>
        <w:trPr>
          <w:trHeight w:val="340" w:hRule="atLeast"/>
        </w:trPr>
        <w:tc>
          <w:tcPr>
            <w:tcW w:w="6451"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11"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60"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t>
      </w:r>
      <w:r>
        <w:rPr>
          <w:rStyle w:val="Ancredenotedebasdepage"/>
          <w:rFonts w:eastAsia="Times New Roman" w:cs="Times New Roman" w:ascii="Marianne" w:hAnsi="Marianne"/>
          <w:szCs w:val="20"/>
          <w:vertAlign w:val="superscript"/>
          <w:lang w:eastAsia="fr-FR"/>
        </w:rPr>
        <w:footnoteReference w:id="11"/>
      </w:r>
      <w:r>
        <w:rPr>
          <w:rFonts w:eastAsia="Times New Roman" w:cs="Times New Roman" w:ascii="Marianne" w:hAnsi="Marianne"/>
          <w:spacing w:val="10"/>
          <w:szCs w:val="20"/>
          <w:lang w:eastAsia="fr-FR"/>
        </w:rPr>
        <w: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Refus des suppléants</w:t>
      </w:r>
      <w:r>
        <w:rPr>
          <w:rStyle w:val="Ancredenotedebasdepage"/>
          <w:rFonts w:eastAsia="Times New Roman" w:cs="Arial" w:ascii="Marianne" w:hAnsi="Marianne"/>
          <w:spacing w:val="10"/>
          <w:u w:val="single"/>
          <w:vertAlign w:val="superscript"/>
          <w:lang w:eastAsia="fr-FR"/>
        </w:rPr>
        <w:footnoteReference w:id="12"/>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spacing w:val="10"/>
          <w:u w:val="single"/>
          <w:vertAlign w:val="superscript"/>
          <w:lang w:eastAsia="fr-FR"/>
        </w:rPr>
        <w:footnoteReference w:id="13"/>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Arial"/>
          <w:b/>
          <w:b/>
          <w:spacing w:val="10"/>
          <w:sz w:val="26"/>
          <w:szCs w:val="26"/>
          <w:u w:val="single"/>
          <w:lang w:eastAsia="fr-FR"/>
        </w:rPr>
      </w:pPr>
      <w:r>
        <w:rPr>
          <w:rFonts w:eastAsia="Times New Roman" w:cs="Times New Roman" w:ascii="Marianne" w:hAnsi="Marianne"/>
          <w:spacing w:val="10"/>
          <w:sz w:val="20"/>
          <w:szCs w:val="20"/>
          <w:lang w:eastAsia="fr-FR"/>
        </w:rPr>
        <w:t>………………………………………………………………………………………………………………………………………………………………………………………………………………………………………………………………………………………………………………………………………………………………………………………………………………………………………………………………………………………………………………</w:t>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left="-360" w:right="284" w:hanging="0"/>
        <w:jc w:val="both"/>
        <w:outlineLvl w:val="0"/>
        <w:rPr/>
      </w:pPr>
      <w:r>
        <w:rPr>
          <w:rFonts w:eastAsia="Times New Roman" w:cs="Arial" w:ascii="Marianne" w:hAnsi="Marianne"/>
          <w:spacing w:val="10"/>
          <w:szCs w:val="26"/>
          <w:lang w:eastAsia="fr-FR"/>
        </w:rPr>
        <w:tab/>
        <w:t>Le présent procès-verbal, dressé et clos le 21 juillet 2020 à …………………….... heures et ……………………….. minutes, en triple exemplaire</w:t>
      </w:r>
      <w:r>
        <w:rPr>
          <w:rStyle w:val="Ancredenotedebasdepage"/>
          <w:rFonts w:eastAsia="Times New Roman" w:cs="Arial" w:ascii="Marianne" w:hAnsi="Marianne"/>
          <w:spacing w:val="10"/>
          <w:vertAlign w:val="superscript"/>
          <w:lang w:eastAsia="fr-FR"/>
        </w:rPr>
        <w:footnoteReference w:id="14"/>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clear" w:pos="708"/>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r>
        <w:rPr>
          <w:rFonts w:ascii="Marianne" w:hAnsi="Marianne"/>
        </w:rPr>
      </w:r>
      <w:bookmarkStart w:id="0" w:name="_GoBack"/>
      <w:bookmarkStart w:id="1" w:name="_GoBack"/>
      <w:bookmarkEnd w:id="1"/>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2824973"/>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0</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3">
    <w:p>
      <w:pPr>
        <w:pStyle w:val="Notedebasdepage"/>
        <w:widowControl w:val="fals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 xml:space="preserve">Préciser, s’ils sont excusés, s’ils ont donné pouvoir et le cas échéant à qui (art. L. 288 du code électoral). Un même conseiller ne peut être porteur que </w:t>
      </w:r>
      <w:r>
        <w:rPr>
          <w:rFonts w:cs="Arial" w:ascii="Marianne" w:hAnsi="Marianne"/>
          <w:b/>
        </w:rPr>
        <w:t>d'un seul pouvoir</w:t>
      </w:r>
      <w:r>
        <w:rPr>
          <w:rFonts w:cs="Arial" w:ascii="Marianne" w:hAnsi="Marianne"/>
        </w:rPr>
        <w:t xml:space="preserve"> qui est toujours révocable.</w:t>
      </w:r>
    </w:p>
  </w:footnote>
  <w:footnote w:id="4">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En l’absence de quorum, le conseil municipal doit être convoqué à au moins trois jours d’intervalle et peut alors délibérer sans condition de quorum (art. 10 de la loi précitée). </w:t>
      </w:r>
    </w:p>
  </w:footnote>
  <w:footnote w:id="5">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Notedebasdepage"/>
        <w:spacing w:before="40" w:after="40"/>
        <w:ind w:left="142" w:hanging="142"/>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7">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8">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9">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0">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1">
    <w:p>
      <w:pPr>
        <w:pStyle w:val="Notedebasdepage"/>
        <w:spacing w:before="120" w:after="12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2">
    <w:p>
      <w:pPr>
        <w:pStyle w:val="Notedebasdepage"/>
        <w:spacing w:before="120" w:after="120"/>
        <w:ind w:left="142" w:hanging="142"/>
        <w:jc w:val="both"/>
        <w:rPr/>
      </w:pPr>
      <w:r>
        <w:rPr>
          <w:rStyle w:val="Caractresdenotedebasdepage"/>
        </w:rPr>
        <w:footnoteRef/>
      </w:r>
      <w:r>
        <w:rPr>
          <w:rFonts w:cs="Arial" w:ascii="Marianne" w:hAnsi="Marianne"/>
          <w:vertAlign w:val="superscript"/>
        </w:rPr>
        <w:tab/>
        <w:t xml:space="preserve"> </w:t>
      </w:r>
      <w:r>
        <w:rPr>
          <w:rFonts w:cs="Arial" w:ascii="Marianne" w:hAnsi="Marianne"/>
        </w:rPr>
        <w:t>Rayer le 5.4. en l’absence de refus de suppléants avant que la séance ne soit levée.</w:t>
      </w:r>
    </w:p>
  </w:footnote>
  <w:footnote w:id="13">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1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17751"/>
    <w:rPr>
      <w:vertAlign w:val="superscript"/>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character" w:styleId="ListLabel4">
    <w:name w:val="ListLabel 4"/>
    <w:qFormat/>
    <w:rPr>
      <w:rFonts w:ascii="Marianne" w:hAnsi="Marianne"/>
      <w:b/>
      <w:sz w:val="26"/>
    </w:rPr>
  </w:style>
  <w:style w:type="character" w:styleId="ListLabel5">
    <w:name w:val="ListLabel 5"/>
    <w:qFormat/>
    <w:rPr>
      <w:rFonts w:ascii="Marianne" w:hAnsi="Marianne"/>
      <w:b/>
      <w:sz w:val="26"/>
    </w:rPr>
  </w:style>
  <w:style w:type="character" w:styleId="Caractresdenotedebasdepage">
    <w:name w:val="Caractères de note de bas de page"/>
    <w:qFormat/>
    <w:rPr/>
  </w:style>
  <w:style w:type="character" w:styleId="Caractresdenotedefin">
    <w:name w:val="Caractères de note de fin"/>
    <w:qFormat/>
    <w:rPr/>
  </w:style>
  <w:style w:type="character" w:styleId="ListLabel6">
    <w:name w:val="ListLabel 6"/>
    <w:qFormat/>
    <w:rPr>
      <w:rFonts w:ascii="Marianne" w:hAnsi="Marianne"/>
      <w:b/>
      <w:sz w:val="26"/>
      <w:szCs w:val="26"/>
    </w:rPr>
  </w:style>
  <w:style w:type="character" w:styleId="ListLabel7">
    <w:name w:val="ListLabel 7"/>
    <w:qFormat/>
    <w:rPr>
      <w:rFonts w:ascii="Marianne" w:hAnsi="Marianne"/>
      <w:b/>
      <w:sz w:val="26"/>
    </w:rPr>
  </w:style>
  <w:style w:type="character" w:styleId="ListLabel8">
    <w:name w:val="ListLabel 8"/>
    <w:qFormat/>
    <w:rPr>
      <w:rFonts w:ascii="Marianne" w:hAnsi="Marianne"/>
      <w:b/>
      <w:sz w:val="26"/>
    </w:rPr>
  </w:style>
  <w:style w:type="character" w:styleId="ListLabel9">
    <w:name w:val="ListLabel 9"/>
    <w:qFormat/>
    <w:rPr>
      <w:rFonts w:ascii="Marianne" w:hAnsi="Marianne"/>
      <w:b/>
      <w:sz w:val="26"/>
    </w:rPr>
  </w:style>
  <w:style w:type="character" w:styleId="ListLabel10">
    <w:name w:val="ListLabel 10"/>
    <w:qFormat/>
    <w:rPr>
      <w:rFonts w:ascii="Marianne" w:hAnsi="Marianne"/>
      <w:b/>
      <w:sz w:val="26"/>
    </w:rPr>
  </w:style>
  <w:style w:type="character" w:styleId="ListLabel11">
    <w:name w:val="ListLabel 11"/>
    <w:qFormat/>
    <w:rPr>
      <w:rFonts w:ascii="Marianne" w:hAnsi="Marianne"/>
      <w:b/>
      <w:sz w:val="26"/>
      <w:szCs w:val="26"/>
    </w:rPr>
  </w:style>
  <w:style w:type="character" w:styleId="ListLabel12">
    <w:name w:val="ListLabel 12"/>
    <w:qFormat/>
    <w:rPr>
      <w:rFonts w:ascii="Marianne" w:hAnsi="Marianne"/>
      <w:b/>
      <w:sz w:val="26"/>
    </w:rPr>
  </w:style>
  <w:style w:type="character" w:styleId="ListLabel13">
    <w:name w:val="ListLabel 13"/>
    <w:qFormat/>
    <w:rPr>
      <w:rFonts w:ascii="Marianne" w:hAnsi="Marianne"/>
      <w:b/>
      <w:sz w:val="26"/>
    </w:rPr>
  </w:style>
  <w:style w:type="character" w:styleId="ListLabel14">
    <w:name w:val="ListLabel 14"/>
    <w:qFormat/>
    <w:rPr>
      <w:rFonts w:ascii="Marianne" w:hAnsi="Marianne"/>
      <w:b/>
      <w:sz w:val="26"/>
    </w:rPr>
  </w:style>
  <w:style w:type="character" w:styleId="ListLabel15">
    <w:name w:val="ListLabel 15"/>
    <w:qFormat/>
    <w:rPr>
      <w:rFonts w:ascii="Marianne" w:hAnsi="Marianne"/>
      <w:b/>
      <w:sz w:val="2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tedebasdepage">
    <w:name w:val="Footnote Text"/>
    <w:basedOn w:val="Normal"/>
    <w:link w:val="NotedebasdepageCar"/>
    <w:semiHidden/>
    <w:rsid w:val="005a3120"/>
    <w:pPr>
      <w:spacing w:lineRule="auto" w:line="240" w:before="0" w:after="0"/>
    </w:pPr>
    <w:rPr>
      <w:rFonts w:ascii="Times New Roman" w:hAnsi="Times New Roman" w:eastAsia="Times New Roman" w:cs="Times New Roman"/>
      <w:sz w:val="20"/>
      <w:szCs w:val="20"/>
      <w:lang w:eastAsia="fr-FR"/>
    </w:rPr>
  </w:style>
  <w:style w:type="paragraph" w:styleId="Entte">
    <w:name w:val="Header"/>
    <w:basedOn w:val="Normal"/>
    <w:link w:val="En-tteCar"/>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Notedefin">
    <w:name w:val="Endnote Text"/>
    <w:basedOn w:val="Normal"/>
    <w:link w:val="NotedefinCar"/>
    <w:uiPriority w:val="99"/>
    <w:semiHidden/>
    <w:unhideWhenUsed/>
    <w:rsid w:val="00917751"/>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C41AAD-1F40-45BD-A9A8-C2B2AFF5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Application>LibreOffice/6.2.6.2$Windows_X86_64 LibreOffice_project/684e730861356e74889dfe6dbddd3562aae2e6ad</Application>
  <Pages>14</Pages>
  <Words>2453</Words>
  <Characters>14440</Characters>
  <CharactersWithSpaces>16781</CharactersWithSpaces>
  <Paragraphs>154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2020-06-25T09:34:00Z</dcterms:created>
  <dc:creator>TAVERNIERAN</dc:creator>
  <dc:description/>
  <dc:language>fr-FR</dc:language>
  <cp:lastModifiedBy/>
  <cp:lastPrinted>2020-06-25T09:40:00Z</cp:lastPrinted>
  <dcterms:modified xsi:type="dcterms:W3CDTF">2020-07-17T16:00:27Z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